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ind w:firstLine="540"/>
        <w:jc w:val="center"/>
        <w:outlineLvl w:val="0"/>
      </w:pPr>
      <w:r>
        <w:rPr>
          <w:b/>
          <w:sz w:val="32"/>
          <w:szCs w:val="32"/>
        </w:rPr>
        <w:t xml:space="preserve">Меры социальной поддержки</w:t>
      </w:r>
      <w:r>
        <w:rPr>
          <w:b/>
          <w:sz w:val="32"/>
          <w:szCs w:val="32"/>
        </w:rPr>
      </w:r>
      <w:r/>
    </w:p>
    <w:p>
      <w:pPr>
        <w:pStyle w:val="812"/>
        <w:ind w:firstLine="540"/>
        <w:jc w:val="center"/>
        <w:outlineLvl w:val="0"/>
      </w:pPr>
      <w:r>
        <w:rPr>
          <w:sz w:val="32"/>
          <w:szCs w:val="32"/>
        </w:rPr>
        <w:t xml:space="preserve">детей - сирот и детей, оставшихся без попечения родителей, и лиц из числа</w:t>
      </w:r>
      <w:r>
        <w:rPr>
          <w:sz w:val="32"/>
          <w:szCs w:val="32"/>
        </w:rPr>
        <w:t xml:space="preserve"> детей - сирот и детей, оставшихся без попечения родителей</w:t>
      </w:r>
      <w:r/>
    </w:p>
    <w:p>
      <w:pPr>
        <w:pStyle w:val="812"/>
        <w:jc w:val="both"/>
      </w:pPr>
      <w:r/>
      <w:r/>
    </w:p>
    <w:p>
      <w:pPr>
        <w:pStyle w:val="812"/>
        <w:jc w:val="center"/>
        <w:outlineLvl w:val="0"/>
      </w:pPr>
      <w:r>
        <w:rPr>
          <w:b/>
        </w:rPr>
        <w:t xml:space="preserve">Дополнительные гарантии права на образование</w:t>
      </w:r>
      <w:r/>
    </w:p>
    <w:p>
      <w:pPr>
        <w:pStyle w:val="812"/>
        <w:jc w:val="both"/>
        <w:outlineLvl w:val="0"/>
      </w:pPr>
      <w:r/>
      <w:r/>
    </w:p>
    <w:p>
      <w:pPr>
        <w:pStyle w:val="812"/>
        <w:ind w:firstLine="540"/>
        <w:jc w:val="both"/>
      </w:pPr>
      <w:r>
        <w:t xml:space="preserve">Дети-сироты и дети, оставшиеся без попечения родителей, лица из числа детей-сирот и детей, оставшихся без по</w:t>
      </w:r>
      <w:r>
        <w:t xml:space="preserve">печения родителей, имеют право.</w:t>
      </w:r>
      <w:r/>
    </w:p>
    <w:p>
      <w:pPr>
        <w:pStyle w:val="812"/>
        <w:jc w:val="both"/>
      </w:pPr>
      <w:r>
        <w:rPr>
          <w:b/>
        </w:rPr>
        <w:t xml:space="preserve">1.</w:t>
      </w:r>
      <w:r>
        <w:t xml:space="preserve">  На обучение на подготовительных отделениях образовательных организаций высшего образования без взимания платы;</w:t>
      </w:r>
      <w:r/>
    </w:p>
    <w:p>
      <w:pPr>
        <w:pStyle w:val="812"/>
        <w:jc w:val="both"/>
      </w:pPr>
      <w:r>
        <w:rPr>
          <w:b/>
        </w:rPr>
        <w:t xml:space="preserve">2.</w:t>
      </w:r>
      <w:r>
        <w:t xml:space="preserve">  На получение второго среднего профессионального образования по программе подготовки квалифицированны</w:t>
      </w:r>
      <w:r>
        <w:t xml:space="preserve">х рабочих  без взимания платы.</w:t>
      </w:r>
      <w:r/>
    </w:p>
    <w:p>
      <w:pPr>
        <w:pStyle w:val="812"/>
        <w:jc w:val="both"/>
      </w:pPr>
      <w:r>
        <w:rPr>
          <w:b/>
        </w:rPr>
        <w:t xml:space="preserve">3.</w:t>
      </w:r>
      <w:r>
        <w:t xml:space="preserve"> Обучающиеся по имеющим государственную аккреди</w:t>
      </w:r>
      <w:r>
        <w:t xml:space="preserve">тацию образовательным программам среднего профессионального образования или высшего образования по очной форме обучения, а также обучающиеся, потерявшие в период обучения обоих родителей или единственного родителя, зачисляются на полное государственное обе</w:t>
      </w:r>
      <w:r>
        <w:t xml:space="preserve">спечение до завершения обучения.</w:t>
      </w:r>
      <w:r/>
    </w:p>
    <w:p>
      <w:pPr>
        <w:pStyle w:val="812"/>
        <w:jc w:val="both"/>
      </w:pPr>
      <w:r>
        <w:rPr>
          <w:b/>
        </w:rPr>
        <w:t xml:space="preserve">4.</w:t>
      </w:r>
      <w:r>
        <w:t xml:space="preserve">  За лицами из числа детей-сирот и детей, оставшихся без попечения родителей, обучающи</w:t>
      </w:r>
      <w:r>
        <w:t xml:space="preserve">хся</w:t>
      </w:r>
      <w:r>
        <w:t xml:space="preserve"> </w:t>
      </w:r>
      <w:r>
        <w:t xml:space="preserve">в организациях начального профессионального, среднего и высшего образования,</w:t>
      </w:r>
      <w:r>
        <w:t xml:space="preserve"> потерявши</w:t>
      </w:r>
      <w:r>
        <w:t xml:space="preserve">х</w:t>
      </w:r>
      <w:r>
        <w:t xml:space="preserve"> в этот период обоих или единственного родителя, в случае достижения ими возраста 23 лет,  сохраняется право на полное государственное обеспеч</w:t>
      </w:r>
      <w:r>
        <w:t xml:space="preserve">ение и дополнительные гарантии.</w:t>
      </w:r>
      <w:r/>
    </w:p>
    <w:p>
      <w:pPr>
        <w:pStyle w:val="812"/>
        <w:jc w:val="both"/>
      </w:pPr>
      <w:r>
        <w:rPr>
          <w:b/>
        </w:rPr>
        <w:t xml:space="preserve">5.</w:t>
      </w:r>
      <w:r>
        <w:t xml:space="preserve"> Наряду с полны</w:t>
      </w:r>
      <w:r>
        <w:t xml:space="preserve">м государственным обеспечением выплачиваются стипендия,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</w:t>
      </w:r>
      <w:r>
        <w:t xml:space="preserve">ния и производственной практики.</w:t>
      </w:r>
      <w:r/>
    </w:p>
    <w:p>
      <w:pPr>
        <w:pStyle w:val="812"/>
        <w:jc w:val="both"/>
        <w:rPr>
          <w:highlight w:val="none"/>
        </w:rPr>
      </w:pPr>
      <w:r>
        <w:rPr>
          <w:b/>
        </w:rPr>
        <w:t xml:space="preserve">6.</w:t>
      </w:r>
      <w:r>
        <w:t xml:space="preserve"> </w:t>
      </w:r>
      <w:r>
        <w:t xml:space="preserve">Выпускники </w:t>
      </w:r>
      <w:r>
        <w:t xml:space="preserve">организаций, осуществляющих образовательную деятельность,  приезжающие в каникулярное время, выходные и праздничные дни в эти организации, по решению этих организаций могут зачисляться на бесплатное питание и проживание на</w:t>
      </w:r>
      <w:r>
        <w:t xml:space="preserve"> период своего пребывания в них.</w:t>
      </w:r>
      <w:r/>
      <w:r/>
      <w:r/>
      <w:r/>
    </w:p>
    <w:p>
      <w:pPr>
        <w:pStyle w:val="812"/>
        <w:jc w:val="both"/>
      </w:pPr>
      <w:r>
        <w:rPr>
          <w:b/>
        </w:rPr>
        <w:t xml:space="preserve">7.</w:t>
      </w:r>
      <w:r>
        <w:t xml:space="preserve"> </w:t>
      </w:r>
      <w:r>
        <w:t xml:space="preserve">Выпускники </w:t>
      </w:r>
      <w:r>
        <w:t xml:space="preserve">организаций, осуществляющих образовательную деятельность,   однократно обеспечиваются  одеждой, обувью, мягким инвентарем и оборудованием, а также единовременным денежным пособием в размере не менее чем пятьсот рублей.  </w:t>
      </w:r>
      <w:r/>
      <w:r/>
    </w:p>
    <w:p>
      <w:pPr>
        <w:pStyle w:val="812"/>
        <w:jc w:val="both"/>
      </w:pPr>
      <w:r>
        <w:t xml:space="preserve">По жела</w:t>
      </w:r>
      <w:r>
        <w:t xml:space="preserve">нию выпускника ему может быть выдана денежная компенсация в размере, необходимом для приобретения указанных одежды, обуви, мягкого инвентаря и оборудования, или такая компенсация может быть перечислена на счет или счета, открытые на им</w:t>
      </w:r>
      <w:r>
        <w:t xml:space="preserve">я выпускника в банке.</w:t>
      </w:r>
      <w:r>
        <w:t xml:space="preserve">    </w:t>
      </w:r>
      <w:r/>
      <w:r/>
      <w:r/>
      <w:r>
        <w:rPr>
          <w:b/>
        </w:rPr>
        <w:t xml:space="preserve">8.</w:t>
      </w:r>
      <w:r>
        <w:t xml:space="preserve"> При предоставлении обучающимся - детям-сиротам и детям, оставшимся без попечения родителей, лицам из числа детей-сирот и детей, оставшихся без попечения родителей, </w:t>
      </w:r>
      <w:r>
        <w:fldChar w:fldCharType="begin"/>
      </w:r>
      <w:r>
        <w:instrText xml:space="preserve">HYPERLINK consultantplus://offline/ref=C8E9FF004BDC578C6279FABECACBB9554A3130294A5AB794C7D37C5CB12292982DC999B2F21A60C2zBB9F </w:instrText>
      </w:r>
      <w:r>
        <w:fldChar w:fldCharType="separate"/>
      </w:r>
      <w:r>
        <w:t xml:space="preserve">академического отпуска</w:t>
      </w:r>
      <w:r>
        <w:fldChar w:fldCharType="end"/>
      </w:r>
      <w:r>
        <w:t xml:space="preserve"> по медицинским показаниям,  за ними сохраняется на весь период полное государственное обеспечение, им выплачивается стипендия. Организация, осуществляющая образовательную деятельность, содействует организации их лечения;</w:t>
      </w:r>
      <w:r/>
      <w:r/>
    </w:p>
    <w:p>
      <w:pPr>
        <w:pStyle w:val="812"/>
        <w:jc w:val="both"/>
      </w:pPr>
      <w:r>
        <w:rPr>
          <w:b/>
        </w:rPr>
        <w:t xml:space="preserve"> 9.</w:t>
      </w:r>
      <w:r>
        <w:t xml:space="preserve">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r/>
      <w:r/>
    </w:p>
    <w:p>
      <w:pPr>
        <w:pStyle w:val="812"/>
        <w:jc w:val="both"/>
      </w:pPr>
      <w:r/>
      <w:r/>
      <w:r/>
    </w:p>
    <w:p>
      <w:pPr>
        <w:pStyle w:val="812"/>
        <w:jc w:val="both"/>
      </w:pPr>
      <w:r>
        <w:rPr>
          <w:b/>
        </w:rPr>
        <w:t xml:space="preserve">Куда обратиться:</w:t>
      </w:r>
      <w:r>
        <w:t xml:space="preserve"> Департамент образования и науки </w:t>
      </w:r>
      <w:r/>
      <w:r/>
      <w:r>
        <w:t xml:space="preserve">Брянской области</w:t>
      </w:r>
      <w:r/>
      <w:r/>
    </w:p>
    <w:p>
      <w:pPr>
        <w:pStyle w:val="812"/>
        <w:jc w:val="both"/>
      </w:pPr>
      <w:r>
        <w:t xml:space="preserve">                               </w:t>
      </w:r>
      <w:r>
        <w:t xml:space="preserve">  </w:t>
      </w:r>
      <w:r>
        <w:t xml:space="preserve">г. Брянск, ул. Бежицкая, д.34а</w:t>
      </w:r>
      <w:r/>
      <w:r/>
    </w:p>
    <w:p>
      <w:pPr>
        <w:pStyle w:val="812"/>
        <w:jc w:val="both"/>
      </w:pPr>
      <w:r>
        <w:t xml:space="preserve">                          </w:t>
      </w:r>
      <w:r>
        <w:t xml:space="preserve"> </w:t>
      </w:r>
      <w:r>
        <w:t xml:space="preserve">      т. 8(4832)  58-04-40</w:t>
      </w:r>
      <w:r/>
      <w:r/>
    </w:p>
    <w:p>
      <w:pPr>
        <w:pStyle w:val="812"/>
        <w:jc w:val="both"/>
      </w:pPr>
      <w:r/>
      <w:r/>
      <w:r/>
    </w:p>
    <w:p>
      <w:pPr>
        <w:pStyle w:val="812"/>
        <w:jc w:val="both"/>
      </w:pPr>
      <w:r/>
      <w:r/>
    </w:p>
    <w:p>
      <w:pPr>
        <w:pStyle w:val="812"/>
        <w:ind w:firstLine="540"/>
        <w:jc w:val="both"/>
        <w:rPr>
          <w:b/>
        </w:rPr>
        <w:outlineLvl w:val="0"/>
      </w:pPr>
      <w:r>
        <w:rPr>
          <w:b/>
        </w:rPr>
        <w:t xml:space="preserve">Судебная защита прав детей-сирот и детей, оставшихся без попечения родителей</w:t>
      </w:r>
      <w:r/>
    </w:p>
    <w:p>
      <w:pPr>
        <w:pStyle w:val="812"/>
        <w:jc w:val="both"/>
      </w:pPr>
      <w:r>
        <w:t xml:space="preserve"> </w:t>
      </w:r>
      <w:r/>
    </w:p>
    <w:p>
      <w:pPr>
        <w:pStyle w:val="812"/>
        <w:jc w:val="both"/>
      </w:pPr>
      <w:r>
        <w:t xml:space="preserve">Дети-сироты и дети, оставшиеся без попечения родителей, имеют право на бесплатную юридическую помощь</w:t>
      </w:r>
      <w:r>
        <w:t xml:space="preserve">.</w:t>
      </w:r>
      <w:r/>
    </w:p>
    <w:p>
      <w:pPr>
        <w:pStyle w:val="812"/>
        <w:jc w:val="both"/>
      </w:pPr>
      <w:r>
        <w:t xml:space="preserve">  </w:t>
      </w:r>
      <w:r/>
    </w:p>
    <w:p>
      <w:pPr>
        <w:pStyle w:val="812"/>
        <w:ind w:firstLine="540"/>
        <w:jc w:val="both"/>
      </w:pPr>
      <w:r>
        <w:t xml:space="preserve"> </w:t>
      </w:r>
      <w:r>
        <w:rPr>
          <w:b/>
        </w:rPr>
        <w:t xml:space="preserve">Дополнительные гарантии права на труд</w:t>
      </w:r>
      <w:r>
        <w:rPr>
          <w:b/>
        </w:rPr>
      </w:r>
      <w:r/>
    </w:p>
    <w:p>
      <w:pPr>
        <w:pStyle w:val="812"/>
      </w:pPr>
      <w:r/>
      <w:r/>
    </w:p>
    <w:p>
      <w:pPr>
        <w:pStyle w:val="812"/>
        <w:jc w:val="both"/>
      </w:pPr>
      <w:r>
        <w:rPr>
          <w:b/>
        </w:rPr>
        <w:t xml:space="preserve">1.</w:t>
      </w:r>
      <w:r>
        <w:t xml:space="preserve"> </w:t>
      </w:r>
      <w:r>
        <w:t xml:space="preserve">Органы государственной службы занятости населения при обращении к ним детей-сирот и детей, оставшихся без попечения родителей, лиц из числа детей-сирот и детей, оставшихся без попечения родителей, оказывают содействие указанным </w:t>
      </w:r>
      <w:r>
        <w:t xml:space="preserve">лицам в подборе подходящей работы и трудоустройстве, организуют 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  <w:r/>
    </w:p>
    <w:p>
      <w:pPr>
        <w:pStyle w:val="812"/>
        <w:jc w:val="both"/>
      </w:pPr>
      <w:r>
        <w:rPr>
          <w:b/>
        </w:rPr>
        <w:t xml:space="preserve">2.</w:t>
      </w:r>
      <w:r>
        <w:t xml:space="preserve"> </w:t>
      </w:r>
      <w:r>
        <w:t xml:space="preserve">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</w:t>
      </w:r>
      <w:r>
        <w:t xml:space="preserve">одителей,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действующим законодательством.</w:t>
      </w:r>
      <w:r/>
    </w:p>
    <w:p>
      <w:pPr>
        <w:pStyle w:val="812"/>
        <w:jc w:val="both"/>
        <w:rPr>
          <w:bCs/>
        </w:rPr>
      </w:pPr>
      <w:r>
        <w:rPr>
          <w:b/>
        </w:rPr>
        <w:t xml:space="preserve">3.</w:t>
      </w:r>
      <w:r>
        <w:t xml:space="preserve"> </w:t>
      </w:r>
      <w:r>
        <w:rPr>
          <w:bCs/>
        </w:rPr>
        <w:t xml:space="preserve">Работникам - детям-сиротам и детям, оставшимся без попечения родителей, лицам из числа детей-сирот и детей, оставшихся без попечения родителей, увольняемым из организаций в </w:t>
      </w:r>
      <w:r>
        <w:rPr>
          <w:bCs/>
        </w:rPr>
        <w:t xml:space="preserve">связи с их ликвидацией, сокращением численности или штата работников, работодатель (его правопреемник)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работодателя.</w:t>
      </w:r>
      <w:r/>
    </w:p>
    <w:p>
      <w:pPr>
        <w:pStyle w:val="812"/>
        <w:jc w:val="both"/>
      </w:pPr>
      <w:r/>
      <w:r/>
    </w:p>
    <w:p>
      <w:pPr>
        <w:pStyle w:val="812"/>
        <w:jc w:val="both"/>
      </w:pPr>
      <w:r>
        <w:rPr>
          <w:b/>
        </w:rPr>
        <w:t xml:space="preserve">Куда обратиться:</w:t>
      </w:r>
      <w:r>
        <w:t xml:space="preserve"> Управление по труду и занятости населения Брянской области</w:t>
      </w:r>
      <w:r/>
    </w:p>
    <w:p>
      <w:pPr>
        <w:pStyle w:val="812"/>
        <w:jc w:val="both"/>
      </w:pPr>
      <w:r>
        <w:t xml:space="preserve">                             г. Брянск, 1-й проезд Станке Димитрова, д.12</w:t>
      </w:r>
      <w:r/>
    </w:p>
    <w:p>
      <w:pPr>
        <w:pStyle w:val="812"/>
        <w:jc w:val="both"/>
      </w:pPr>
      <w:r>
        <w:t xml:space="preserve">                             т. 8(4832)  41-16-75</w:t>
      </w:r>
      <w:r/>
    </w:p>
    <w:p>
      <w:pPr>
        <w:pStyle w:val="812"/>
        <w:jc w:val="both"/>
      </w:pPr>
      <w:r/>
      <w:r/>
    </w:p>
    <w:p>
      <w:pPr>
        <w:pStyle w:val="812"/>
        <w:jc w:val="both"/>
      </w:pPr>
      <w:r>
        <w:t xml:space="preserve"> </w:t>
      </w:r>
      <w:r/>
    </w:p>
    <w:p>
      <w:pPr>
        <w:pStyle w:val="812"/>
        <w:ind w:firstLine="540"/>
        <w:jc w:val="both"/>
        <w:rPr>
          <w:b/>
        </w:rPr>
        <w:outlineLvl w:val="0"/>
      </w:pPr>
      <w:r>
        <w:rPr>
          <w:b/>
        </w:rPr>
        <w:t xml:space="preserve">Дополнительные гарантии права на медицинское обеспечение</w:t>
      </w:r>
      <w:r/>
    </w:p>
    <w:p>
      <w:pPr>
        <w:pStyle w:val="812"/>
        <w:jc w:val="both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812"/>
        <w:jc w:val="both"/>
      </w:pPr>
      <w:r>
        <w:rPr>
          <w:b/>
        </w:rPr>
        <w:t xml:space="preserve">1.</w:t>
      </w:r>
      <w:r>
        <w:t xml:space="preserve">  Предоставляется бесплатн</w:t>
      </w:r>
      <w:r>
        <w:t xml:space="preserve">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 </w:t>
      </w:r>
      <w:r/>
    </w:p>
    <w:p>
      <w:pPr>
        <w:pStyle w:val="812"/>
        <w:jc w:val="both"/>
      </w:pPr>
      <w:r>
        <w:t xml:space="preserve">и осуществляется их направление на лечение за пределы те</w:t>
      </w:r>
      <w:r>
        <w:t xml:space="preserve">рритории Российской Федерации.</w:t>
      </w:r>
      <w:r/>
    </w:p>
    <w:p>
      <w:pPr>
        <w:pStyle w:val="812"/>
        <w:jc w:val="both"/>
      </w:pPr>
      <w:r>
        <w:rPr>
          <w:b/>
        </w:rPr>
        <w:t xml:space="preserve">2.</w:t>
      </w:r>
      <w:r>
        <w:t xml:space="preserve">  Предоставляются путевки в оздоровительные лагеря, в санаторно-курортные организации при наличии медицинских показаний, а также оплачивается проезд к месту лечения и обратно.</w:t>
      </w:r>
      <w:r/>
    </w:p>
    <w:p>
      <w:pPr>
        <w:pStyle w:val="812"/>
        <w:ind w:firstLine="540"/>
        <w:jc w:val="both"/>
      </w:pPr>
      <w:r>
        <w:t xml:space="preserve"> </w:t>
      </w:r>
      <w:r/>
    </w:p>
    <w:p>
      <w:pPr>
        <w:pStyle w:val="812"/>
        <w:jc w:val="both"/>
      </w:pPr>
      <w:r>
        <w:t xml:space="preserve">   </w:t>
      </w:r>
      <w:r>
        <w:rPr>
          <w:b/>
        </w:rPr>
        <w:t xml:space="preserve">Куда обратиться:</w:t>
      </w:r>
      <w:r>
        <w:t xml:space="preserve"> Департамент  здравоохранения  Брянской области</w:t>
      </w:r>
      <w:r/>
    </w:p>
    <w:p>
      <w:pPr>
        <w:pStyle w:val="812"/>
        <w:jc w:val="both"/>
      </w:pPr>
      <w:r>
        <w:t xml:space="preserve">                             г. Брянск, пер. Осоавиахима, д. 3, корп.1</w:t>
      </w:r>
      <w:r/>
    </w:p>
    <w:p>
      <w:pPr>
        <w:pStyle w:val="812"/>
        <w:jc w:val="both"/>
      </w:pPr>
      <w:r>
        <w:rPr>
          <w:sz w:val="22"/>
          <w:szCs w:val="22"/>
        </w:rPr>
        <w:t xml:space="preserve">                                </w:t>
      </w:r>
      <w:r>
        <w:t xml:space="preserve">т . 8(4832)  74-21-47</w:t>
      </w:r>
      <w:r/>
    </w:p>
    <w:p>
      <w:pPr>
        <w:pStyle w:val="812"/>
        <w:ind w:firstLine="540"/>
        <w:jc w:val="both"/>
        <w:rPr>
          <w:b/>
        </w:rPr>
        <w:outlineLvl w:val="0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pStyle w:val="812"/>
        <w:ind w:firstLine="540"/>
        <w:jc w:val="both"/>
        <w:rPr>
          <w:b/>
          <w:highlight w:val="none"/>
        </w:rPr>
        <w:outlineLvl w:val="0"/>
      </w:pPr>
      <w:r>
        <w:rPr>
          <w:b/>
        </w:rPr>
        <w:t xml:space="preserve">Дополнительные гарантии прав на имущество и жилое помещение</w:t>
      </w:r>
      <w:r/>
    </w:p>
    <w:p>
      <w:pPr>
        <w:pStyle w:val="812"/>
        <w:outlineLvl w:val="0"/>
      </w:pPr>
      <w:r/>
      <w:r/>
    </w:p>
    <w:p>
      <w:pPr>
        <w:pStyle w:val="812"/>
        <w:jc w:val="both"/>
      </w:pPr>
      <w:r/>
      <w:bookmarkStart w:id="0" w:name="Par1"/>
      <w:r/>
      <w:bookmarkEnd w:id="0"/>
      <w:r/>
      <w:bookmarkStart w:id="1" w:name="Par0"/>
      <w:r/>
      <w:bookmarkEnd w:id="1"/>
      <w:r>
        <w:rPr>
          <w:b/>
        </w:rPr>
        <w:t xml:space="preserve">1</w:t>
      </w:r>
      <w:r>
        <w:rPr>
          <w:b/>
        </w:rPr>
        <w:t xml:space="preserve">.</w:t>
      </w:r>
      <w:r>
        <w:rPr>
          <w:b/>
        </w:rPr>
        <w:t xml:space="preserve"> </w:t>
      </w:r>
      <w:r>
        <w:t xml:space="preserve"> </w:t>
      </w:r>
      <w:r>
        <w:t xml:space="preserve">Детям-сиротам и детям, оставшимся без попечения родителей, лицам из числа детей-сирот и детей, оставшихся без</w:t>
      </w:r>
      <w:r>
        <w:t xml:space="preserve">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</w:t>
      </w:r>
      <w:r>
        <w:t xml:space="preserve">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>
        <w:t xml:space="preserve">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</w:t>
      </w:r>
      <w:r>
        <w:t xml:space="preserve">, установленном законодательством этого субъекта Российской Федерации, однократно </w:t>
      </w:r>
      <w:r>
        <w:t xml:space="preserve">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  <w:r/>
    </w:p>
    <w:p>
      <w:pPr>
        <w:pStyle w:val="812"/>
        <w:ind w:firstLine="540"/>
        <w:jc w:val="both"/>
      </w:pPr>
      <w:r>
        <w:t xml:space="preserve">Жилые помещения предоставляются лицам, включенным в список нуждающихся в жилом помещении:</w:t>
      </w:r>
      <w:r/>
    </w:p>
    <w:p>
      <w:pPr>
        <w:pStyle w:val="812"/>
        <w:ind w:firstLine="540"/>
        <w:jc w:val="both"/>
      </w:pPr>
      <w:r>
        <w:t xml:space="preserve">по достижении ими возраста 18 лет,  </w:t>
      </w:r>
      <w:r/>
    </w:p>
    <w:p>
      <w:pPr>
        <w:pStyle w:val="812"/>
        <w:ind w:firstLine="540"/>
        <w:jc w:val="both"/>
      </w:pPr>
      <w:r>
        <w:t xml:space="preserve"> в случае приобретения ими полной дееспособности до достижения совершеннолетия.  </w:t>
      </w:r>
      <w:r>
        <w:rPr>
          <w:bCs/>
        </w:rPr>
        <w:t xml:space="preserve">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</w:t>
      </w:r>
      <w:r>
        <w:rPr>
          <w:bCs/>
        </w:rPr>
        <w:t xml:space="preserve">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 исправительных учреждениях.</w:t>
      </w:r>
      <w:r/>
      <w:r/>
    </w:p>
    <w:p>
      <w:pPr>
        <w:pStyle w:val="812"/>
        <w:jc w:val="both"/>
        <w:rPr>
          <w:highlight w:val="none"/>
        </w:rPr>
      </w:pPr>
      <w:r>
        <w:rPr>
          <w:b/>
        </w:rPr>
        <w:t xml:space="preserve">2.</w:t>
      </w:r>
      <w:r>
        <w:t xml:space="preserve"> </w:t>
      </w:r>
      <w:r>
        <w:t xml:space="preserve">Детям-сиротам, детям, оставшимся без попечения родителей, лицам из  числа</w:t>
      </w:r>
      <w:r>
        <w:t xml:space="preserve"> детей-сирот, детей, оставшихся без попечения родителей, завершившим пребывание в организациях для детей-си</w:t>
      </w:r>
      <w:r>
        <w:t xml:space="preserve">рот, но не старше 23 лет  с целью оказания помощи в социальной адаптации, подготовке к самостоятельной жизни и включенных в список детей-сирот, нуждающихся в жилом помещении, предоставляется возможность временного проживания в организациях для детей-сирот.</w:t>
      </w:r>
      <w:r/>
    </w:p>
    <w:p>
      <w:pPr>
        <w:pStyle w:val="812"/>
        <w:jc w:val="both"/>
        <w:rPr>
          <w:highlight w:val="none"/>
        </w:rPr>
      </w:pPr>
      <w:r>
        <w:rPr>
          <w:b/>
        </w:rPr>
        <w:t xml:space="preserve">Куда обратиться:</w:t>
      </w:r>
      <w:r>
        <w:rPr>
          <w:b/>
        </w:rPr>
        <w:t xml:space="preserve"> </w:t>
      </w:r>
      <w:r>
        <w:t xml:space="preserve">В организацию для детей-сирот, в орган опеки и попечительства муниципального образования.</w:t>
      </w:r>
      <w:r/>
      <w:r>
        <w:rPr>
          <w:highlight w:val="none"/>
        </w:rPr>
      </w:r>
    </w:p>
    <w:p>
      <w:pPr>
        <w:pStyle w:val="812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812"/>
        <w:jc w:val="both"/>
        <w:widowControl w:val="off"/>
        <w:outlineLvl w:val="0"/>
      </w:pPr>
      <w:r>
        <w:rPr>
          <w:b/>
        </w:rPr>
        <w:t xml:space="preserve">3</w:t>
      </w:r>
      <w:r>
        <w:rPr>
          <w:b/>
        </w:rPr>
        <w:t xml:space="preserve">.</w:t>
      </w:r>
      <w:r>
        <w:rPr>
          <w:b/>
        </w:rPr>
        <w:t xml:space="preserve"> </w:t>
      </w:r>
      <w:r>
        <w:t xml:space="preserve">Детям-сиротам, детям, оставшимся без попечения родителей, лицам из их числа, обучающимся по очной форме обучения, имеющим закрепленное жилое помещение, назначается:</w:t>
      </w:r>
      <w:r/>
      <w:r/>
    </w:p>
    <w:p>
      <w:pPr>
        <w:pStyle w:val="812"/>
        <w:ind w:firstLine="540"/>
        <w:jc w:val="both"/>
        <w:widowControl w:val="off"/>
        <w:outlineLvl w:val="0"/>
      </w:pPr>
      <w:r>
        <w:t xml:space="preserve">- выплата на оплату коммунальных услуг (ежемесячно) в размере </w:t>
      </w:r>
      <w:r>
        <w:rPr>
          <w:lang w:val="en-US"/>
        </w:rPr>
        <w:t xml:space="preserve">7</w:t>
      </w:r>
      <w:r>
        <w:t xml:space="preserve">00 рублей;</w:t>
      </w:r>
      <w:r/>
      <w:r/>
    </w:p>
    <w:p>
      <w:pPr>
        <w:pStyle w:val="812"/>
        <w:ind w:firstLine="708"/>
        <w:jc w:val="both"/>
      </w:pPr>
      <w:r>
        <w:t xml:space="preserve">- выплата на приобретение строительных материалов для </w:t>
      </w:r>
      <w:r/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t xml:space="preserve">осуществления ремонта жилых помещений (1 раз в год)  в размере до </w:t>
      </w:r>
      <w:r>
        <w:rPr>
          <w:lang w:val="en-US"/>
        </w:rPr>
        <w:t xml:space="preserve">20</w:t>
      </w:r>
      <w:r>
        <w:t xml:space="preserve"> 000 рублей;</w:t>
      </w:r>
      <w:r/>
      <w:r>
        <w:rPr>
          <w:highlight w:val="none"/>
        </w:rPr>
      </w:r>
    </w:p>
    <w:p>
      <w:pPr>
        <w:pStyle w:val="812"/>
        <w:ind w:firstLine="540"/>
        <w:jc w:val="both"/>
        <w:widowControl w:val="off"/>
        <w:outlineLvl w:val="0"/>
      </w:pPr>
      <w:r>
        <w:t xml:space="preserve">- выплата на оформление документов по передаче жилых помещений в собственность (однократно) в размере до 6000 рублей.</w:t>
      </w:r>
      <w:r/>
      <w:r/>
    </w:p>
    <w:p>
      <w:pPr>
        <w:pStyle w:val="812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812"/>
        <w:jc w:val="both"/>
      </w:pPr>
      <w:r>
        <w:rPr>
          <w:b/>
        </w:rPr>
        <w:t xml:space="preserve">Куда обратиться:</w:t>
      </w:r>
      <w:r>
        <w:t xml:space="preserve">   в органы опеки и попечительства муниципальных районов и городских округов Брянской области</w:t>
      </w:r>
      <w:r/>
    </w:p>
    <w:p>
      <w:pPr>
        <w:pStyle w:val="812"/>
        <w:jc w:val="both"/>
        <w:rPr>
          <w:b/>
        </w:rPr>
      </w:pPr>
      <w:r>
        <w:t xml:space="preserve"> </w:t>
      </w:r>
      <w:r>
        <w:tab/>
      </w:r>
      <w:r>
        <w:rPr>
          <w:b/>
        </w:rPr>
      </w:r>
      <w:r/>
    </w:p>
    <w:p>
      <w:pPr>
        <w:pStyle w:val="812"/>
        <w:jc w:val="both"/>
        <w:rPr>
          <w:b/>
        </w:rPr>
      </w:pPr>
      <w:r>
        <w:rPr>
          <w:b/>
        </w:rPr>
        <w:t xml:space="preserve">При возникновении спорных вопросов Вы можете обратиться по адресу:</w:t>
      </w:r>
      <w:r/>
    </w:p>
    <w:p>
      <w:pPr>
        <w:pStyle w:val="812"/>
        <w:ind w:left="708"/>
        <w:jc w:val="both"/>
      </w:pPr>
      <w:r>
        <w:t xml:space="preserve">Департамент семьи, социальной и демографической политики Брянской области</w:t>
      </w:r>
      <w:r/>
    </w:p>
    <w:p>
      <w:pPr>
        <w:pStyle w:val="812"/>
        <w:jc w:val="both"/>
      </w:pPr>
      <w:r>
        <w:t xml:space="preserve">  </w:t>
      </w:r>
      <w:r>
        <w:tab/>
      </w:r>
      <w:r>
        <w:t xml:space="preserve">г. Брянск, пр-т Станке Димитрова, д.88</w:t>
      </w:r>
      <w:r/>
    </w:p>
    <w:p>
      <w:pPr>
        <w:pStyle w:val="812"/>
        <w:ind w:firstLine="708"/>
        <w:jc w:val="both"/>
      </w:pPr>
      <w:r>
        <w:t xml:space="preserve"> 8(4832) 30-32-46</w:t>
      </w:r>
      <w:r/>
    </w:p>
    <w:p>
      <w:pPr>
        <w:pStyle w:val="812"/>
        <w:ind w:firstLine="540"/>
        <w:jc w:val="both"/>
      </w:pPr>
      <w:r/>
      <w:r/>
    </w:p>
    <w:p>
      <w:pPr>
        <w:pStyle w:val="812"/>
        <w:ind w:firstLine="540"/>
        <w:jc w:val="both"/>
      </w:pPr>
      <w:r>
        <w:t xml:space="preserve"> </w:t>
      </w:r>
      <w:r>
        <w:rPr>
          <w:i/>
        </w:rPr>
      </w:r>
      <w:r/>
    </w:p>
    <w:p>
      <w:pPr>
        <w:pStyle w:val="812"/>
        <w:jc w:val="both"/>
      </w:pPr>
      <w:r/>
      <w:r/>
    </w:p>
    <w:p>
      <w:pPr>
        <w:pStyle w:val="812"/>
        <w:jc w:val="both"/>
      </w:pPr>
      <w:r/>
      <w:r/>
    </w:p>
    <w:p>
      <w:pPr>
        <w:pStyle w:val="812"/>
        <w:ind w:firstLine="540"/>
        <w:jc w:val="both"/>
        <w:outlineLvl w:val="0"/>
      </w:pPr>
      <w:r/>
      <w:r/>
    </w:p>
    <w:p>
      <w:pPr>
        <w:pStyle w:val="812"/>
      </w:pPr>
      <w:r/>
      <w:r/>
    </w:p>
    <w:p>
      <w:pPr>
        <w:pStyle w:val="812"/>
        <w:jc w:val="both"/>
      </w:pPr>
      <w:r/>
      <w:r/>
    </w:p>
    <w:sectPr>
      <w:footnotePr/>
      <w:endnotePr/>
      <w:type w:val="nextPage"/>
      <w:pgSz w:w="11906" w:h="16838" w:orient="portrait"/>
      <w:pgMar w:top="851" w:right="851" w:bottom="851" w:left="851" w:header="709" w:footer="709" w:gutter="0"/>
      <w:cols w:num="1" w:sep="0" w:space="709" w:equalWidth="1">
        <w:col w:w="7214" w:space="708"/>
        <w:col w:w="7214" w:space="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7"/>
    <w:rPr>
      <w:rFonts w:ascii="Tahoma" w:hAnsi="Tahoma"/>
      <w:sz w:val="16"/>
      <w:szCs w:val="16"/>
    </w:rPr>
  </w:style>
  <w:style w:type="character" w:styleId="817">
    <w:name w:val="Текст выноски Знак"/>
    <w:next w:val="817"/>
    <w:link w:val="816"/>
    <w:rPr>
      <w:rFonts w:ascii="Tahoma" w:hAnsi="Tahoma"/>
      <w:sz w:val="16"/>
      <w:szCs w:val="16"/>
    </w:r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2022-04-20T11:47:50Z</dcterms:modified>
</cp:coreProperties>
</file>